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Jagera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Hunquminum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Musqueam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[Gumbaynggirr 00:00:11]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Gumbaynggirr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Ballangarry.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Gumbaynggirr/Dunghutti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decision-making.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IT!,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re-imaging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Anishinaabe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Ojibwe,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Keweenaw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EMRIP.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prestigious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anti-Vietnam,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assimilative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self-determination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Anishinaabe,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preambular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self-determination,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enshrined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enshrine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incumbent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wrenching.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diplomacy?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retrenchment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panacea,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multi-pronged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Trudeau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Bergman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Rosamond,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Leeuw,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Sámi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Kuokkanen,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re-imaging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compulsion,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 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[Gumbaynggirr 00:31:49]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[Gumbaynggirr 00:31:52]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Gumbaynggirr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[Gumbaynggirr 00:32:02]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[Gumbaynggirr 00:32:21]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00:32:25]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Taghizadeh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Ballangarry,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Kweifio-Okai,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Lecordier.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R2-EP2-DR-LIGHTFOOT-IWDA_mixdown (Completed  03/08/24)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25,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23xa9s8_YanoT9Zpo6-6xE1jfbnRG4QAAb2srgZiVTOj9pm0ZRMeJBBOTodvRahsHQbQtbPjQS4qKePwbHa5uITu0B8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