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Jagera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Wurundjeri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Wurundjeri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It!.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Gumbaynggir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Ballangarry.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Gumbaynggir/Dunghutti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It!.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imperialism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decision-making,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IWDA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Wiradjuri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Enshrining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Uluru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unsuccessful.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co-authored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 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imbalances.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decision-making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misogyny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Blackwell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 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bureaucracy.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Eurocentric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Blackwell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diplomacy.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00:14:58]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Mohamed's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post-election.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hiccups,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wielded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Blackwell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hawed-out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DFAT,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pigeonholing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Blackwell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DFAT,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97%."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Blackwell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atrociously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 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bureaucracy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 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meccas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indigenous-centered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deconstructing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destabilize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 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domestically.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femicide.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Blackwell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Scandinavia,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inhibit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Blackwell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reexamine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hegemony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AUKUS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AUKUS.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AUKUS?"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submarines?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Wiradjuri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Blackwell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 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re-imaging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 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Blackwell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imbalances,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imbalances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Blackwell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 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Ballangarry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yaarri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yarraang.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yaarri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yarraang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Gumbaynggir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Yaarri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yaarri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yarraang.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Taherzadeh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Ballangarry,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00:38:02]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Annaliese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Lacodia,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Perdola.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EP1-IWDA-JAMES-ALICE-FINAL (Completed  03/08/24)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14,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_6aioMvdtQlZtiFx9N7EMFNdPVKXECLO3rlv2YD0iAz0w6-OSD_ZYxwudoex656klWVAGy9AcTQ_AYGD6WGvIiu4q24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